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1E8D" w14:textId="77777777" w:rsidR="008C5F4D" w:rsidRDefault="008C5F4D">
      <w:pPr>
        <w:pStyle w:val="BodyText"/>
        <w:spacing w:before="2"/>
        <w:rPr>
          <w:rFonts w:ascii="Times New Roman"/>
          <w:sz w:val="8"/>
        </w:rPr>
      </w:pPr>
    </w:p>
    <w:p w14:paraId="39A1E1F6" w14:textId="77777777" w:rsidR="008C5F4D" w:rsidRDefault="00594DD7">
      <w:pPr>
        <w:pStyle w:val="BodyText"/>
        <w:ind w:left="108"/>
        <w:rPr>
          <w:rFonts w:ascii="Times New Roman"/>
          <w:sz w:val="20"/>
        </w:rPr>
      </w:pPr>
      <w:r>
        <w:rPr>
          <w:rFonts w:ascii="Times New Roman"/>
          <w:noProof/>
          <w:sz w:val="20"/>
        </w:rPr>
        <w:drawing>
          <wp:inline distT="0" distB="0" distL="0" distR="0" wp14:anchorId="528C96CA" wp14:editId="7681A144">
            <wp:extent cx="266479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664798" cy="719137"/>
                    </a:xfrm>
                    <a:prstGeom prst="rect">
                      <a:avLst/>
                    </a:prstGeom>
                  </pic:spPr>
                </pic:pic>
              </a:graphicData>
            </a:graphic>
          </wp:inline>
        </w:drawing>
      </w:r>
    </w:p>
    <w:p w14:paraId="126672EF" w14:textId="08CDAFFE" w:rsidR="008C5F4D" w:rsidRDefault="00594DD7">
      <w:pPr>
        <w:pStyle w:val="Heading1"/>
        <w:spacing w:before="59" w:line="480" w:lineRule="atLeast"/>
        <w:ind w:right="1681"/>
      </w:pPr>
      <w:r w:rsidRPr="00594DD7">
        <w:rPr>
          <w:color w:val="231F20"/>
          <w:sz w:val="20"/>
          <w:szCs w:val="20"/>
        </w:rPr>
        <w:t>FOR</w:t>
      </w:r>
      <w:r w:rsidRPr="00594DD7">
        <w:rPr>
          <w:color w:val="231F20"/>
          <w:spacing w:val="-13"/>
          <w:sz w:val="20"/>
          <w:szCs w:val="20"/>
        </w:rPr>
        <w:t xml:space="preserve"> </w:t>
      </w:r>
      <w:r w:rsidRPr="00594DD7">
        <w:rPr>
          <w:color w:val="231F20"/>
          <w:sz w:val="20"/>
          <w:szCs w:val="20"/>
        </w:rPr>
        <w:t>IMMEDIATE RELEASE</w:t>
      </w:r>
      <w:r>
        <w:rPr>
          <w:color w:val="231F20"/>
        </w:rPr>
        <w:t xml:space="preserve"> </w:t>
      </w:r>
      <w:r>
        <w:rPr>
          <w:color w:val="231F20"/>
          <w:spacing w:val="-2"/>
        </w:rPr>
        <w:t>CONTACT:</w:t>
      </w:r>
    </w:p>
    <w:p w14:paraId="7F54091F" w14:textId="77777777" w:rsidR="008C5F4D" w:rsidRDefault="00594DD7">
      <w:pPr>
        <w:pStyle w:val="BodyText"/>
        <w:spacing w:line="216" w:lineRule="auto"/>
        <w:ind w:left="107"/>
      </w:pPr>
      <w:r>
        <w:rPr>
          <w:color w:val="231F20"/>
        </w:rPr>
        <w:t>Alisande</w:t>
      </w:r>
      <w:r>
        <w:rPr>
          <w:color w:val="231F20"/>
          <w:spacing w:val="-13"/>
        </w:rPr>
        <w:t xml:space="preserve"> </w:t>
      </w:r>
      <w:r>
        <w:rPr>
          <w:color w:val="231F20"/>
        </w:rPr>
        <w:t>Morales:</w:t>
      </w:r>
      <w:r>
        <w:rPr>
          <w:color w:val="231F20"/>
          <w:spacing w:val="-12"/>
        </w:rPr>
        <w:t xml:space="preserve"> </w:t>
      </w:r>
      <w:r>
        <w:rPr>
          <w:color w:val="231F20"/>
        </w:rPr>
        <w:t>Marketing</w:t>
      </w:r>
      <w:r>
        <w:rPr>
          <w:color w:val="231F20"/>
          <w:spacing w:val="-13"/>
        </w:rPr>
        <w:t xml:space="preserve"> </w:t>
      </w:r>
      <w:r>
        <w:rPr>
          <w:color w:val="231F20"/>
        </w:rPr>
        <w:t xml:space="preserve">Manager </w:t>
      </w:r>
      <w:hyperlink r:id="rId5">
        <w:r>
          <w:rPr>
            <w:color w:val="231F20"/>
            <w:spacing w:val="-2"/>
          </w:rPr>
          <w:t>alisandemorales</w:t>
        </w:r>
        <w:r>
          <w:rPr>
            <w:rFonts w:ascii="Arial"/>
            <w:i/>
            <w:color w:val="231F20"/>
            <w:spacing w:val="-2"/>
          </w:rPr>
          <w:t>@</w:t>
        </w:r>
        <w:r>
          <w:rPr>
            <w:color w:val="231F20"/>
            <w:spacing w:val="-2"/>
          </w:rPr>
          <w:t>hernon.com</w:t>
        </w:r>
      </w:hyperlink>
    </w:p>
    <w:p w14:paraId="48949530" w14:textId="77777777" w:rsidR="008C5F4D" w:rsidRDefault="00594DD7">
      <w:pPr>
        <w:spacing w:before="90" w:line="237" w:lineRule="auto"/>
        <w:ind w:left="107" w:right="114" w:firstLine="415"/>
        <w:jc w:val="right"/>
        <w:rPr>
          <w:sz w:val="24"/>
        </w:rPr>
      </w:pPr>
      <w:r>
        <w:br w:type="column"/>
      </w:r>
      <w:r>
        <w:rPr>
          <w:color w:val="231F20"/>
          <w:sz w:val="24"/>
        </w:rPr>
        <w:t>Hernon</w:t>
      </w:r>
      <w:r>
        <w:rPr>
          <w:color w:val="231F20"/>
          <w:spacing w:val="-14"/>
          <w:sz w:val="24"/>
        </w:rPr>
        <w:t xml:space="preserve"> </w:t>
      </w:r>
      <w:r>
        <w:rPr>
          <w:color w:val="231F20"/>
          <w:sz w:val="24"/>
        </w:rPr>
        <w:t>Manufacturing,</w:t>
      </w:r>
      <w:r>
        <w:rPr>
          <w:color w:val="231F20"/>
          <w:spacing w:val="-13"/>
          <w:sz w:val="24"/>
        </w:rPr>
        <w:t xml:space="preserve"> </w:t>
      </w:r>
      <w:r>
        <w:rPr>
          <w:color w:val="231F20"/>
          <w:sz w:val="24"/>
        </w:rPr>
        <w:t>Inc.</w:t>
      </w:r>
      <w:r>
        <w:rPr>
          <w:color w:val="231F20"/>
          <w:position w:val="8"/>
          <w:sz w:val="14"/>
        </w:rPr>
        <w:t>®</w:t>
      </w:r>
      <w:r>
        <w:rPr>
          <w:color w:val="231F20"/>
          <w:spacing w:val="40"/>
          <w:position w:val="8"/>
          <w:sz w:val="14"/>
        </w:rPr>
        <w:t xml:space="preserve"> </w:t>
      </w:r>
      <w:r>
        <w:rPr>
          <w:color w:val="231F20"/>
          <w:sz w:val="24"/>
        </w:rPr>
        <w:t>121</w:t>
      </w:r>
      <w:r>
        <w:rPr>
          <w:color w:val="231F20"/>
          <w:spacing w:val="-7"/>
          <w:sz w:val="24"/>
        </w:rPr>
        <w:t xml:space="preserve"> </w:t>
      </w:r>
      <w:r>
        <w:rPr>
          <w:color w:val="231F20"/>
          <w:sz w:val="24"/>
        </w:rPr>
        <w:t>Tech</w:t>
      </w:r>
      <w:r>
        <w:rPr>
          <w:color w:val="231F20"/>
          <w:spacing w:val="-7"/>
          <w:sz w:val="24"/>
        </w:rPr>
        <w:t xml:space="preserve"> </w:t>
      </w:r>
      <w:r>
        <w:rPr>
          <w:color w:val="231F20"/>
          <w:sz w:val="24"/>
        </w:rPr>
        <w:t>Drive,</w:t>
      </w:r>
      <w:r>
        <w:rPr>
          <w:color w:val="231F20"/>
          <w:spacing w:val="-6"/>
          <w:sz w:val="24"/>
        </w:rPr>
        <w:t xml:space="preserve"> </w:t>
      </w:r>
      <w:r>
        <w:rPr>
          <w:color w:val="231F20"/>
          <w:sz w:val="24"/>
        </w:rPr>
        <w:t>Sanford</w:t>
      </w:r>
      <w:r>
        <w:rPr>
          <w:color w:val="231F20"/>
          <w:spacing w:val="-7"/>
          <w:sz w:val="24"/>
        </w:rPr>
        <w:t xml:space="preserve"> </w:t>
      </w:r>
      <w:r>
        <w:rPr>
          <w:color w:val="231F20"/>
          <w:sz w:val="24"/>
        </w:rPr>
        <w:t>FL</w:t>
      </w:r>
      <w:r>
        <w:rPr>
          <w:color w:val="231F20"/>
          <w:spacing w:val="-6"/>
          <w:sz w:val="24"/>
        </w:rPr>
        <w:t xml:space="preserve"> </w:t>
      </w:r>
      <w:r>
        <w:rPr>
          <w:color w:val="231F20"/>
          <w:spacing w:val="-2"/>
          <w:sz w:val="24"/>
        </w:rPr>
        <w:t>32771</w:t>
      </w:r>
    </w:p>
    <w:p w14:paraId="072C33B3" w14:textId="77777777" w:rsidR="008C5F4D" w:rsidRDefault="00594DD7">
      <w:pPr>
        <w:spacing w:line="286" w:lineRule="exact"/>
        <w:ind w:right="114"/>
        <w:jc w:val="right"/>
        <w:rPr>
          <w:sz w:val="24"/>
        </w:rPr>
      </w:pPr>
      <w:r>
        <w:rPr>
          <w:color w:val="231F20"/>
          <w:spacing w:val="-2"/>
          <w:sz w:val="24"/>
        </w:rPr>
        <w:t>407-322-</w:t>
      </w:r>
      <w:r>
        <w:rPr>
          <w:color w:val="231F20"/>
          <w:spacing w:val="-4"/>
          <w:sz w:val="24"/>
        </w:rPr>
        <w:t>4000</w:t>
      </w:r>
    </w:p>
    <w:p w14:paraId="45C804A9" w14:textId="6532D5CE" w:rsidR="008C5F4D" w:rsidRDefault="00DE3D10">
      <w:pPr>
        <w:spacing w:line="290" w:lineRule="exact"/>
        <w:ind w:right="114"/>
        <w:jc w:val="right"/>
        <w:rPr>
          <w:sz w:val="24"/>
        </w:rPr>
      </w:pPr>
      <w:r w:rsidRPr="001D6473">
        <w:rPr>
          <w:noProof/>
          <w:color w:val="231F20"/>
        </w:rPr>
        <w:drawing>
          <wp:anchor distT="0" distB="0" distL="114300" distR="114300" simplePos="0" relativeHeight="251658240" behindDoc="0" locked="0" layoutInCell="1" allowOverlap="1" wp14:anchorId="02CFC965" wp14:editId="431342AD">
            <wp:simplePos x="0" y="0"/>
            <wp:positionH relativeFrom="margin">
              <wp:posOffset>5988050</wp:posOffset>
            </wp:positionH>
            <wp:positionV relativeFrom="paragraph">
              <wp:posOffset>1153160</wp:posOffset>
            </wp:positionV>
            <wp:extent cx="1402080" cy="2581910"/>
            <wp:effectExtent l="0" t="0" r="7620" b="8890"/>
            <wp:wrapSquare wrapText="bothSides"/>
            <wp:docPr id="71578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82086"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2080" cy="2581910"/>
                    </a:xfrm>
                    <a:prstGeom prst="rect">
                      <a:avLst/>
                    </a:prstGeom>
                  </pic:spPr>
                </pic:pic>
              </a:graphicData>
            </a:graphic>
            <wp14:sizeRelH relativeFrom="page">
              <wp14:pctWidth>0</wp14:pctWidth>
            </wp14:sizeRelH>
            <wp14:sizeRelV relativeFrom="page">
              <wp14:pctHeight>0</wp14:pctHeight>
            </wp14:sizeRelV>
          </wp:anchor>
        </w:drawing>
      </w:r>
      <w:r w:rsidR="00594DD7">
        <w:rPr>
          <w:color w:val="231F20"/>
          <w:spacing w:val="-2"/>
          <w:sz w:val="24"/>
        </w:rPr>
        <w:t>hernon.com</w:t>
      </w:r>
    </w:p>
    <w:p w14:paraId="2567AECC" w14:textId="77777777" w:rsidR="008C5F4D" w:rsidRDefault="008C5F4D">
      <w:pPr>
        <w:spacing w:line="290" w:lineRule="exact"/>
        <w:jc w:val="right"/>
        <w:rPr>
          <w:sz w:val="24"/>
        </w:rPr>
        <w:sectPr w:rsidR="008C5F4D">
          <w:type w:val="continuous"/>
          <w:pgSz w:w="12240" w:h="15840"/>
          <w:pgMar w:top="240" w:right="200" w:bottom="280" w:left="240" w:header="720" w:footer="720" w:gutter="0"/>
          <w:cols w:num="2" w:space="720" w:equalWidth="0">
            <w:col w:w="4349" w:space="3965"/>
            <w:col w:w="3486"/>
          </w:cols>
        </w:sectPr>
      </w:pPr>
    </w:p>
    <w:p w14:paraId="15A99510" w14:textId="3D98EF30" w:rsidR="008C5F4D" w:rsidRDefault="008C5F4D">
      <w:pPr>
        <w:pStyle w:val="BodyText"/>
        <w:spacing w:before="3"/>
        <w:rPr>
          <w:sz w:val="9"/>
        </w:rPr>
      </w:pPr>
    </w:p>
    <w:p w14:paraId="4CBFB331" w14:textId="19DD9892" w:rsidR="00216086" w:rsidRDefault="00216086" w:rsidP="00216086">
      <w:pPr>
        <w:spacing w:before="212"/>
        <w:ind w:left="107"/>
        <w:rPr>
          <w:b/>
          <w:color w:val="231F20"/>
        </w:rPr>
      </w:pPr>
      <w:r>
        <w:rPr>
          <w:b/>
          <w:color w:val="231F20"/>
        </w:rPr>
        <w:t>Hernon</w:t>
      </w:r>
      <w:r>
        <w:rPr>
          <w:b/>
          <w:color w:val="231F20"/>
          <w:position w:val="7"/>
          <w:sz w:val="13"/>
        </w:rPr>
        <w:t>®</w:t>
      </w:r>
      <w:r>
        <w:rPr>
          <w:b/>
          <w:color w:val="231F20"/>
          <w:spacing w:val="17"/>
          <w:position w:val="7"/>
          <w:sz w:val="13"/>
        </w:rPr>
        <w:t xml:space="preserve"> </w:t>
      </w:r>
      <w:r>
        <w:rPr>
          <w:b/>
          <w:color w:val="231F20"/>
        </w:rPr>
        <w:t xml:space="preserve">Develops </w:t>
      </w:r>
      <w:r w:rsidRPr="00216086">
        <w:rPr>
          <w:b/>
          <w:color w:val="231F20"/>
        </w:rPr>
        <w:t>Breakthrough UV Curable</w:t>
      </w:r>
      <w:r>
        <w:rPr>
          <w:b/>
          <w:color w:val="231F20"/>
        </w:rPr>
        <w:t xml:space="preserve"> </w:t>
      </w:r>
      <w:r w:rsidRPr="00216086">
        <w:rPr>
          <w:b/>
          <w:color w:val="231F20"/>
        </w:rPr>
        <w:t>Adhesive for Versatile Plastic Sealing</w:t>
      </w:r>
    </w:p>
    <w:p w14:paraId="4931E8D1" w14:textId="7C2DC806" w:rsidR="00216086" w:rsidRDefault="00216086" w:rsidP="00216086">
      <w:pPr>
        <w:spacing w:before="212"/>
        <w:ind w:left="107"/>
        <w:rPr>
          <w:b/>
        </w:rPr>
      </w:pPr>
    </w:p>
    <w:p w14:paraId="50AE9782" w14:textId="77C2E503" w:rsidR="00216086" w:rsidRPr="00216086" w:rsidRDefault="00594DD7" w:rsidP="00216086">
      <w:pPr>
        <w:pStyle w:val="BodyText"/>
        <w:spacing w:before="121" w:line="216" w:lineRule="auto"/>
        <w:ind w:left="107" w:right="359"/>
      </w:pPr>
      <w:r>
        <w:rPr>
          <w:b/>
          <w:color w:val="231F20"/>
        </w:rPr>
        <w:t>SANFORD, FL - June 2023 -</w:t>
      </w:r>
      <w:r>
        <w:rPr>
          <w:b/>
          <w:color w:val="231F20"/>
          <w:spacing w:val="-1"/>
        </w:rPr>
        <w:t xml:space="preserve"> </w:t>
      </w:r>
      <w:r>
        <w:rPr>
          <w:color w:val="231F20"/>
        </w:rPr>
        <w:t>Hernon Manufacturing, Inc.</w:t>
      </w:r>
      <w:r>
        <w:rPr>
          <w:color w:val="231F20"/>
          <w:position w:val="7"/>
          <w:sz w:val="13"/>
        </w:rPr>
        <w:t>®</w:t>
      </w:r>
      <w:r w:rsidR="00216086">
        <w:t xml:space="preserve"> </w:t>
      </w:r>
      <w:r w:rsidR="00216086" w:rsidRPr="00216086">
        <w:rPr>
          <w:color w:val="231F20"/>
        </w:rPr>
        <w:t xml:space="preserve">is proud to unveil Hernon </w:t>
      </w:r>
      <w:proofErr w:type="spellStart"/>
      <w:r w:rsidR="00216086" w:rsidRPr="00216086">
        <w:rPr>
          <w:color w:val="231F20"/>
        </w:rPr>
        <w:t>Ultrabond</w:t>
      </w:r>
      <w:proofErr w:type="spellEnd"/>
      <w:r w:rsidR="00216086" w:rsidRPr="00216086">
        <w:rPr>
          <w:color w:val="231F20"/>
        </w:rPr>
        <w:t xml:space="preserve"> Sealant 721, a cutting-edge UV curable adhesive designed to deliver exceptional sealing capabilities for a wide range of plastics. This revolutionary sealant forms a water-tight bond with excellent environmental resistance, ensuring optimal performance in various applications.</w:t>
      </w:r>
    </w:p>
    <w:p w14:paraId="54F72D5E" w14:textId="4FDC299E" w:rsidR="00216086" w:rsidRPr="00216086" w:rsidRDefault="00216086" w:rsidP="00216086">
      <w:pPr>
        <w:pStyle w:val="BodyText"/>
        <w:spacing w:before="1"/>
        <w:ind w:left="107"/>
        <w:rPr>
          <w:color w:val="231F20"/>
        </w:rPr>
      </w:pPr>
    </w:p>
    <w:p w14:paraId="29945281" w14:textId="3B7A8613" w:rsidR="00216086" w:rsidRPr="00216086" w:rsidRDefault="00216086" w:rsidP="00216086">
      <w:pPr>
        <w:pStyle w:val="BodyText"/>
        <w:spacing w:before="1"/>
        <w:ind w:left="107"/>
        <w:rPr>
          <w:color w:val="231F20"/>
        </w:rPr>
      </w:pPr>
      <w:r w:rsidRPr="00216086">
        <w:rPr>
          <w:color w:val="231F20"/>
        </w:rPr>
        <w:t xml:space="preserve">One of the standout features of </w:t>
      </w:r>
      <w:proofErr w:type="spellStart"/>
      <w:r w:rsidRPr="00216086">
        <w:rPr>
          <w:color w:val="231F20"/>
        </w:rPr>
        <w:t>Ultrabond</w:t>
      </w:r>
      <w:proofErr w:type="spellEnd"/>
      <w:r w:rsidRPr="00216086">
        <w:rPr>
          <w:color w:val="231F20"/>
        </w:rPr>
        <w:t xml:space="preserve"> Sealant 721 is its ability to prevent material from escaping through a crimped seal. This not only ensures a secure seal but also enhances the overall integrity of the assembly. By utilizing a low powered UV lamp (Blacklight), users can easily inspect the presence of adhesive on the substrates, enabling efficient and precise quality control during the manufacturing process.</w:t>
      </w:r>
      <w:r w:rsidR="001D6473" w:rsidRPr="001D6473">
        <w:rPr>
          <w:noProof/>
        </w:rPr>
        <w:t xml:space="preserve"> </w:t>
      </w:r>
    </w:p>
    <w:p w14:paraId="3A2DF329" w14:textId="26F36DD9" w:rsidR="00216086" w:rsidRPr="00216086" w:rsidRDefault="00216086" w:rsidP="00216086">
      <w:pPr>
        <w:pStyle w:val="BodyText"/>
        <w:spacing w:before="1"/>
        <w:ind w:left="107"/>
        <w:rPr>
          <w:color w:val="231F20"/>
        </w:rPr>
      </w:pPr>
    </w:p>
    <w:p w14:paraId="5E996E35" w14:textId="547FAA8B" w:rsidR="00216086" w:rsidRPr="00216086" w:rsidRDefault="00216086" w:rsidP="00216086">
      <w:pPr>
        <w:pStyle w:val="BodyText"/>
        <w:spacing w:before="1"/>
        <w:ind w:left="107"/>
        <w:rPr>
          <w:color w:val="231F20"/>
        </w:rPr>
      </w:pPr>
      <w:r w:rsidRPr="00216086">
        <w:rPr>
          <w:color w:val="231F20"/>
        </w:rPr>
        <w:t xml:space="preserve">"Hernon </w:t>
      </w:r>
      <w:proofErr w:type="spellStart"/>
      <w:r w:rsidRPr="00216086">
        <w:rPr>
          <w:color w:val="231F20"/>
        </w:rPr>
        <w:t>Ultrabond</w:t>
      </w:r>
      <w:proofErr w:type="spellEnd"/>
      <w:r w:rsidRPr="00216086">
        <w:rPr>
          <w:color w:val="231F20"/>
        </w:rPr>
        <w:t xml:space="preserve"> Sealant 721 represents a significant advancement in UV curable adhesives," said </w:t>
      </w:r>
      <w:r w:rsidR="000740C2">
        <w:rPr>
          <w:color w:val="231F20"/>
        </w:rPr>
        <w:t>Seda Borak</w:t>
      </w:r>
      <w:r w:rsidRPr="00216086">
        <w:rPr>
          <w:color w:val="231F20"/>
        </w:rPr>
        <w:t xml:space="preserve">, </w:t>
      </w:r>
      <w:r w:rsidR="000740C2">
        <w:rPr>
          <w:color w:val="231F20"/>
        </w:rPr>
        <w:t xml:space="preserve">Lab Manager </w:t>
      </w:r>
      <w:r w:rsidRPr="00216086">
        <w:rPr>
          <w:color w:val="231F20"/>
        </w:rPr>
        <w:t>at Hernon. "With its superior sealing properties, water resistance, and excellent adhesion to plastics, this sealant opens up new possibilities for various industries, including automotive, electronics, and medical devices. We are proud to offer a solution that not only provides outstanding performance but also prioritizes safety and environmental sustainability."</w:t>
      </w:r>
      <w:r w:rsidR="001D6473" w:rsidRPr="001D6473">
        <w:rPr>
          <w:noProof/>
        </w:rPr>
        <w:t xml:space="preserve"> </w:t>
      </w:r>
    </w:p>
    <w:p w14:paraId="3F25DFE4" w14:textId="77777777" w:rsidR="00216086" w:rsidRPr="00216086" w:rsidRDefault="00216086" w:rsidP="00216086">
      <w:pPr>
        <w:pStyle w:val="BodyText"/>
        <w:spacing w:before="1"/>
        <w:ind w:left="107"/>
        <w:rPr>
          <w:color w:val="231F20"/>
        </w:rPr>
      </w:pPr>
    </w:p>
    <w:p w14:paraId="5E12AE74" w14:textId="59493166" w:rsidR="008C5F4D" w:rsidRDefault="00216086" w:rsidP="00216086">
      <w:pPr>
        <w:pStyle w:val="BodyText"/>
        <w:spacing w:before="1"/>
        <w:ind w:left="107"/>
      </w:pPr>
      <w:r w:rsidRPr="00216086">
        <w:rPr>
          <w:color w:val="231F20"/>
        </w:rPr>
        <w:t xml:space="preserve">Hernon </w:t>
      </w:r>
      <w:proofErr w:type="spellStart"/>
      <w:r w:rsidRPr="00216086">
        <w:rPr>
          <w:color w:val="231F20"/>
        </w:rPr>
        <w:t>Ultrabond</w:t>
      </w:r>
      <w:proofErr w:type="spellEnd"/>
      <w:r w:rsidRPr="00216086">
        <w:rPr>
          <w:color w:val="231F20"/>
        </w:rPr>
        <w:t xml:space="preserve"> Sealant 721 is now available for purchase, enabling manufacturers to optimize their sealing processes with confidence. For more information, please visit </w:t>
      </w:r>
      <w:hyperlink r:id="rId7">
        <w:r>
          <w:rPr>
            <w:color w:val="231F20"/>
            <w:spacing w:val="-2"/>
          </w:rPr>
          <w:t>www.hernon.com</w:t>
        </w:r>
      </w:hyperlink>
      <w:r>
        <w:rPr>
          <w:color w:val="231F20"/>
          <w:spacing w:val="-2"/>
        </w:rPr>
        <w:t xml:space="preserve">. </w:t>
      </w:r>
      <w:r w:rsidR="00594DD7">
        <w:rPr>
          <w:color w:val="231F20"/>
          <w:spacing w:val="-5"/>
        </w:rPr>
        <w:t xml:space="preserve"> </w:t>
      </w:r>
    </w:p>
    <w:p w14:paraId="0DBB913A" w14:textId="77777777" w:rsidR="008C5F4D" w:rsidRDefault="008C5F4D">
      <w:pPr>
        <w:pStyle w:val="BodyText"/>
        <w:rPr>
          <w:sz w:val="21"/>
        </w:rPr>
      </w:pPr>
    </w:p>
    <w:p w14:paraId="131ED65C" w14:textId="57C982DE" w:rsidR="008C5F4D" w:rsidRDefault="008C5F4D" w:rsidP="00216086">
      <w:pPr>
        <w:pStyle w:val="BodyText"/>
        <w:ind w:left="928"/>
        <w:rPr>
          <w:sz w:val="20"/>
        </w:rPr>
        <w:sectPr w:rsidR="008C5F4D">
          <w:type w:val="continuous"/>
          <w:pgSz w:w="12240" w:h="15840"/>
          <w:pgMar w:top="240" w:right="200" w:bottom="280" w:left="240" w:header="720" w:footer="720" w:gutter="0"/>
          <w:cols w:space="720"/>
        </w:sectPr>
      </w:pPr>
    </w:p>
    <w:p w14:paraId="21123235" w14:textId="77777777" w:rsidR="008C5F4D" w:rsidRDefault="008C5F4D">
      <w:pPr>
        <w:pStyle w:val="BodyText"/>
        <w:spacing w:before="4"/>
        <w:rPr>
          <w:sz w:val="30"/>
        </w:rPr>
      </w:pPr>
    </w:p>
    <w:p w14:paraId="521CEA3A" w14:textId="77777777" w:rsidR="008C5F4D" w:rsidRDefault="00594DD7">
      <w:pPr>
        <w:pStyle w:val="Heading1"/>
        <w:rPr>
          <w:sz w:val="13"/>
        </w:rPr>
      </w:pPr>
      <w:r>
        <w:rPr>
          <w:color w:val="231F20"/>
        </w:rPr>
        <w:t xml:space="preserve">About </w:t>
      </w:r>
      <w:r>
        <w:rPr>
          <w:color w:val="231F20"/>
          <w:spacing w:val="-2"/>
        </w:rPr>
        <w:t>Hernon</w:t>
      </w:r>
      <w:r>
        <w:rPr>
          <w:color w:val="231F20"/>
          <w:spacing w:val="-2"/>
          <w:position w:val="7"/>
          <w:sz w:val="13"/>
        </w:rPr>
        <w:t>®</w:t>
      </w:r>
    </w:p>
    <w:p w14:paraId="3A529E25" w14:textId="73BF920C" w:rsidR="008C5F4D" w:rsidRDefault="00594DD7">
      <w:pPr>
        <w:spacing w:before="89"/>
        <w:ind w:left="107"/>
        <w:rPr>
          <w:sz w:val="18"/>
        </w:rPr>
      </w:pPr>
      <w:r>
        <w:br w:type="column"/>
      </w:r>
    </w:p>
    <w:p w14:paraId="0E89BA93" w14:textId="77777777" w:rsidR="008C5F4D" w:rsidRDefault="008C5F4D">
      <w:pPr>
        <w:rPr>
          <w:sz w:val="18"/>
        </w:rPr>
        <w:sectPr w:rsidR="008C5F4D">
          <w:type w:val="continuous"/>
          <w:pgSz w:w="12240" w:h="15840"/>
          <w:pgMar w:top="240" w:right="200" w:bottom="280" w:left="240" w:header="720" w:footer="720" w:gutter="0"/>
          <w:cols w:num="2" w:space="720" w:equalWidth="0">
            <w:col w:w="1587" w:space="4358"/>
            <w:col w:w="5855"/>
          </w:cols>
        </w:sectPr>
      </w:pPr>
    </w:p>
    <w:p w14:paraId="54C757AB" w14:textId="77777777" w:rsidR="008C5F4D" w:rsidRDefault="008C5F4D">
      <w:pPr>
        <w:pStyle w:val="BodyText"/>
        <w:spacing w:before="3"/>
        <w:rPr>
          <w:sz w:val="9"/>
        </w:rPr>
      </w:pPr>
    </w:p>
    <w:p w14:paraId="7E7B12C9" w14:textId="77777777" w:rsidR="008C5F4D" w:rsidRDefault="00594DD7">
      <w:pPr>
        <w:pStyle w:val="BodyText"/>
        <w:spacing w:before="121" w:line="216" w:lineRule="auto"/>
        <w:ind w:left="107" w:right="359"/>
      </w:pPr>
      <w:r>
        <w:rPr>
          <w:color w:val="231F20"/>
        </w:rPr>
        <w:t>Hernon Manufacturing, Inc.</w:t>
      </w:r>
      <w:r>
        <w:rPr>
          <w:color w:val="231F20"/>
          <w:position w:val="7"/>
          <w:sz w:val="13"/>
        </w:rPr>
        <w:t>®</w:t>
      </w:r>
      <w:r>
        <w:rPr>
          <w:color w:val="231F20"/>
          <w:spacing w:val="30"/>
          <w:position w:val="7"/>
          <w:sz w:val="13"/>
        </w:rPr>
        <w:t xml:space="preserve"> </w:t>
      </w:r>
      <w:r>
        <w:rPr>
          <w:color w:val="231F20"/>
        </w:rPr>
        <w:t>produces high-performance adhesives, sealants, UV LED curing lights and precision dispensing systems. Hernon</w:t>
      </w:r>
      <w:r>
        <w:rPr>
          <w:color w:val="231F20"/>
          <w:position w:val="7"/>
          <w:sz w:val="13"/>
        </w:rPr>
        <w:t>®</w:t>
      </w:r>
      <w:r>
        <w:rPr>
          <w:color w:val="231F20"/>
          <w:spacing w:val="22"/>
          <w:position w:val="7"/>
          <w:sz w:val="13"/>
        </w:rPr>
        <w:t xml:space="preserve"> </w:t>
      </w:r>
      <w:r>
        <w:rPr>
          <w:color w:val="231F20"/>
        </w:rPr>
        <w:t>maintains a library unique adhesive and sealant formulas in addition to creating customized formulas to address specific manufacturing challenges. A full in-house chemical laboratory ensures quick turn around on testing</w:t>
      </w:r>
      <w:r>
        <w:rPr>
          <w:color w:val="231F20"/>
          <w:spacing w:val="-5"/>
        </w:rPr>
        <w:t xml:space="preserve"> </w:t>
      </w:r>
      <w:r>
        <w:rPr>
          <w:color w:val="231F20"/>
        </w:rPr>
        <w:t>and</w:t>
      </w:r>
      <w:r>
        <w:rPr>
          <w:color w:val="231F20"/>
          <w:spacing w:val="-5"/>
        </w:rPr>
        <w:t xml:space="preserve"> </w:t>
      </w:r>
      <w:r>
        <w:rPr>
          <w:color w:val="231F20"/>
        </w:rPr>
        <w:t>development</w:t>
      </w:r>
      <w:r>
        <w:rPr>
          <w:color w:val="231F20"/>
          <w:spacing w:val="-5"/>
        </w:rPr>
        <w:t xml:space="preserve"> </w:t>
      </w:r>
      <w:r>
        <w:rPr>
          <w:color w:val="231F20"/>
        </w:rPr>
        <w:t>projects</w:t>
      </w:r>
      <w:r>
        <w:rPr>
          <w:color w:val="231F20"/>
          <w:spacing w:val="-5"/>
        </w:rPr>
        <w:t xml:space="preserve"> </w:t>
      </w:r>
      <w:r>
        <w:rPr>
          <w:color w:val="231F20"/>
        </w:rPr>
        <w:t>and</w:t>
      </w:r>
      <w:r>
        <w:rPr>
          <w:color w:val="231F20"/>
          <w:spacing w:val="-5"/>
        </w:rPr>
        <w:t xml:space="preserve"> </w:t>
      </w:r>
      <w:r>
        <w:rPr>
          <w:color w:val="231F20"/>
        </w:rPr>
        <w:t>an</w:t>
      </w:r>
      <w:r>
        <w:rPr>
          <w:color w:val="231F20"/>
          <w:spacing w:val="-5"/>
        </w:rPr>
        <w:t xml:space="preserve"> </w:t>
      </w:r>
      <w:r>
        <w:rPr>
          <w:color w:val="231F20"/>
        </w:rPr>
        <w:t>on-site</w:t>
      </w:r>
      <w:r>
        <w:rPr>
          <w:color w:val="231F20"/>
          <w:spacing w:val="-5"/>
        </w:rPr>
        <w:t xml:space="preserve"> </w:t>
      </w:r>
      <w:r>
        <w:rPr>
          <w:color w:val="231F20"/>
        </w:rPr>
        <w:t>equipment</w:t>
      </w:r>
      <w:r>
        <w:rPr>
          <w:color w:val="231F20"/>
          <w:spacing w:val="-5"/>
        </w:rPr>
        <w:t xml:space="preserve"> </w:t>
      </w:r>
      <w:r>
        <w:rPr>
          <w:color w:val="231F20"/>
        </w:rPr>
        <w:t>division</w:t>
      </w:r>
      <w:r>
        <w:rPr>
          <w:color w:val="231F20"/>
          <w:spacing w:val="-5"/>
        </w:rPr>
        <w:t xml:space="preserve"> </w:t>
      </w:r>
      <w:r>
        <w:rPr>
          <w:color w:val="231F20"/>
        </w:rPr>
        <w:t>allows</w:t>
      </w:r>
      <w:r>
        <w:rPr>
          <w:color w:val="231F20"/>
          <w:spacing w:val="-5"/>
        </w:rPr>
        <w:t xml:space="preserve"> </w:t>
      </w:r>
      <w:r>
        <w:rPr>
          <w:color w:val="231F20"/>
        </w:rPr>
        <w:t>Hernon</w:t>
      </w:r>
      <w:r>
        <w:rPr>
          <w:color w:val="231F20"/>
          <w:position w:val="7"/>
          <w:sz w:val="13"/>
        </w:rPr>
        <w:t>®</w:t>
      </w:r>
      <w:r>
        <w:rPr>
          <w:color w:val="231F20"/>
          <w:spacing w:val="15"/>
          <w:position w:val="7"/>
          <w:sz w:val="13"/>
        </w:rPr>
        <w:t xml:space="preserve"> </w:t>
      </w:r>
      <w:r>
        <w:rPr>
          <w:color w:val="231F20"/>
        </w:rPr>
        <w:t>to</w:t>
      </w:r>
      <w:r>
        <w:rPr>
          <w:color w:val="231F20"/>
          <w:spacing w:val="-5"/>
        </w:rPr>
        <w:t xml:space="preserve"> </w:t>
      </w:r>
      <w:r>
        <w:rPr>
          <w:color w:val="231F20"/>
        </w:rPr>
        <w:t>build,</w:t>
      </w:r>
      <w:r>
        <w:rPr>
          <w:color w:val="231F20"/>
          <w:spacing w:val="-5"/>
        </w:rPr>
        <w:t xml:space="preserve"> </w:t>
      </w:r>
      <w:r>
        <w:rPr>
          <w:color w:val="231F20"/>
        </w:rPr>
        <w:t>service</w:t>
      </w:r>
      <w:r>
        <w:rPr>
          <w:color w:val="231F20"/>
          <w:spacing w:val="-5"/>
        </w:rPr>
        <w:t xml:space="preserve"> </w:t>
      </w:r>
      <w:r>
        <w:rPr>
          <w:color w:val="231F20"/>
        </w:rPr>
        <w:t>and</w:t>
      </w:r>
      <w:r>
        <w:rPr>
          <w:color w:val="231F20"/>
          <w:spacing w:val="-5"/>
        </w:rPr>
        <w:t xml:space="preserve"> </w:t>
      </w:r>
      <w:r>
        <w:rPr>
          <w:color w:val="231F20"/>
        </w:rPr>
        <w:t>integrate</w:t>
      </w:r>
      <w:r>
        <w:rPr>
          <w:color w:val="231F20"/>
          <w:spacing w:val="-5"/>
        </w:rPr>
        <w:t xml:space="preserve"> </w:t>
      </w:r>
      <w:r>
        <w:rPr>
          <w:color w:val="231F20"/>
        </w:rPr>
        <w:t>unique dispensing systems to even the most exacting specifications. This integration helps Hernon</w:t>
      </w:r>
      <w:r>
        <w:rPr>
          <w:color w:val="231F20"/>
          <w:position w:val="7"/>
          <w:sz w:val="13"/>
        </w:rPr>
        <w:t>®</w:t>
      </w:r>
      <w:r>
        <w:rPr>
          <w:color w:val="231F20"/>
          <w:spacing w:val="26"/>
          <w:position w:val="7"/>
          <w:sz w:val="13"/>
        </w:rPr>
        <w:t xml:space="preserve"> </w:t>
      </w:r>
      <w:r>
        <w:rPr>
          <w:color w:val="231F20"/>
        </w:rPr>
        <w:t>to provide customers with a Total Solution for any unique application.</w:t>
      </w:r>
    </w:p>
    <w:sectPr w:rsidR="008C5F4D">
      <w:type w:val="continuous"/>
      <w:pgSz w:w="12240" w:h="15840"/>
      <w:pgMar w:top="24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Calibri"/>
    <w:panose1 w:val="00000000000000000000"/>
    <w:charset w:val="00"/>
    <w:family w:val="swiss"/>
    <w:notTrueType/>
    <w:pitch w:val="variable"/>
    <w:sig w:usb0="8000002F" w:usb1="0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4D"/>
    <w:rsid w:val="000740C2"/>
    <w:rsid w:val="0010205C"/>
    <w:rsid w:val="001D6473"/>
    <w:rsid w:val="00216086"/>
    <w:rsid w:val="002326B7"/>
    <w:rsid w:val="00594DD7"/>
    <w:rsid w:val="008C5F4D"/>
    <w:rsid w:val="00DE3D10"/>
    <w:rsid w:val="00F9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072A"/>
  <w15:docId w15:val="{242E2DED-0C96-444A-9B96-0973E1F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bin" w:eastAsia="Cabin" w:hAnsi="Cabin" w:cs="Cabin"/>
    </w:rPr>
  </w:style>
  <w:style w:type="paragraph" w:styleId="Heading1">
    <w:name w:val="heading 1"/>
    <w:basedOn w:val="Normal"/>
    <w:uiPriority w:val="9"/>
    <w:qFormat/>
    <w:pPr>
      <w:spacing w:before="1"/>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7196">
      <w:bodyDiv w:val="1"/>
      <w:marLeft w:val="0"/>
      <w:marRight w:val="0"/>
      <w:marTop w:val="0"/>
      <w:marBottom w:val="0"/>
      <w:divBdr>
        <w:top w:val="none" w:sz="0" w:space="0" w:color="auto"/>
        <w:left w:val="none" w:sz="0" w:space="0" w:color="auto"/>
        <w:bottom w:val="none" w:sz="0" w:space="0" w:color="auto"/>
        <w:right w:val="none" w:sz="0" w:space="0" w:color="auto"/>
      </w:divBdr>
    </w:div>
    <w:div w:id="120078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rn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lisandemorales@hernon.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Jackson</dc:creator>
  <cp:lastModifiedBy>Alisande Morales</cp:lastModifiedBy>
  <cp:revision>4</cp:revision>
  <dcterms:created xsi:type="dcterms:W3CDTF">2023-06-15T18:35:00Z</dcterms:created>
  <dcterms:modified xsi:type="dcterms:W3CDTF">2024-06-24T13:50:00Z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Adobe InDesign 18.3 (Windows)</vt:lpwstr>
  </property>
  <property fmtid="{D5CDD505-2E9C-101B-9397-08002B2CF9AE}" pid="4" name="LastSaved">
    <vt:filetime>2023-06-08T00:00:00Z</vt:filetime>
  </property>
  <property fmtid="{D5CDD505-2E9C-101B-9397-08002B2CF9AE}" pid="5" name="Producer">
    <vt:lpwstr>Adobe PDF Library 17.0</vt:lpwstr>
  </property>
</Properties>
</file>